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F9971" w14:textId="77777777" w:rsidR="00AF13C2" w:rsidRPr="00086293" w:rsidRDefault="00C074AB">
      <w:pPr>
        <w:rPr>
          <w:sz w:val="20"/>
          <w:szCs w:val="20"/>
          <w:lang w:val="es-ES"/>
        </w:rPr>
      </w:pPr>
    </w:p>
    <w:tbl>
      <w:tblPr>
        <w:tblW w:w="14167" w:type="dxa"/>
        <w:tblCellMar>
          <w:left w:w="0" w:type="dxa"/>
          <w:right w:w="0" w:type="dxa"/>
        </w:tblCellMar>
        <w:tblLook w:val="04A0" w:firstRow="1" w:lastRow="0" w:firstColumn="1" w:lastColumn="0" w:noHBand="0" w:noVBand="1"/>
      </w:tblPr>
      <w:tblGrid>
        <w:gridCol w:w="2402"/>
        <w:gridCol w:w="4961"/>
        <w:gridCol w:w="6804"/>
      </w:tblGrid>
      <w:tr w:rsidR="00086293" w:rsidRPr="00086293" w14:paraId="7E8019CF" w14:textId="77777777" w:rsidTr="00C074AB">
        <w:trPr>
          <w:tblHeader/>
        </w:trPr>
        <w:tc>
          <w:tcPr>
            <w:tcW w:w="2402" w:type="dxa"/>
            <w:tcBorders>
              <w:top w:val="single" w:sz="6" w:space="0" w:color="B1C764"/>
              <w:left w:val="single" w:sz="6" w:space="0" w:color="B1C764"/>
              <w:bottom w:val="single" w:sz="6" w:space="0" w:color="B1C764"/>
              <w:right w:val="single" w:sz="6" w:space="0" w:color="B1C764"/>
            </w:tcBorders>
            <w:shd w:val="clear" w:color="auto" w:fill="E2EFD9" w:themeFill="accent6" w:themeFillTint="33"/>
            <w:tcMar>
              <w:top w:w="60" w:type="dxa"/>
              <w:left w:w="60" w:type="dxa"/>
              <w:bottom w:w="60" w:type="dxa"/>
              <w:right w:w="60" w:type="dxa"/>
            </w:tcMar>
            <w:hideMark/>
          </w:tcPr>
          <w:p w14:paraId="588E7EA2" w14:textId="77777777" w:rsidR="00086293" w:rsidRPr="00086293" w:rsidRDefault="00086293" w:rsidP="00086293">
            <w:pPr>
              <w:spacing w:after="86"/>
              <w:rPr>
                <w:rFonts w:ascii="Century Gothic" w:hAnsi="Century Gothic" w:cs="Times New Roman"/>
                <w:color w:val="000000" w:themeColor="text1"/>
                <w:sz w:val="20"/>
                <w:szCs w:val="20"/>
                <w:lang w:eastAsia="es-ES_tradnl"/>
              </w:rPr>
            </w:pPr>
            <w:bookmarkStart w:id="0" w:name="_GoBack" w:colFirst="0" w:colLast="2"/>
            <w:r w:rsidRPr="00086293">
              <w:rPr>
                <w:rFonts w:ascii="Century Gothic" w:hAnsi="Century Gothic" w:cs="Times New Roman"/>
                <w:b/>
                <w:bCs/>
                <w:color w:val="000000" w:themeColor="text1"/>
                <w:sz w:val="20"/>
                <w:szCs w:val="20"/>
                <w:lang w:eastAsia="es-ES_tradnl"/>
              </w:rPr>
              <w:t>Iniciativas GRIT</w:t>
            </w:r>
          </w:p>
        </w:tc>
        <w:tc>
          <w:tcPr>
            <w:tcW w:w="4961" w:type="dxa"/>
            <w:tcBorders>
              <w:top w:val="single" w:sz="6" w:space="0" w:color="B1C764"/>
              <w:left w:val="single" w:sz="6" w:space="0" w:color="B1C764"/>
              <w:bottom w:val="single" w:sz="6" w:space="0" w:color="B1C764"/>
              <w:right w:val="single" w:sz="6" w:space="0" w:color="B1C764"/>
            </w:tcBorders>
            <w:shd w:val="clear" w:color="auto" w:fill="E2EFD9" w:themeFill="accent6" w:themeFillTint="33"/>
            <w:tcMar>
              <w:top w:w="60" w:type="dxa"/>
              <w:left w:w="60" w:type="dxa"/>
              <w:bottom w:w="60" w:type="dxa"/>
              <w:right w:w="60" w:type="dxa"/>
            </w:tcMar>
            <w:hideMark/>
          </w:tcPr>
          <w:p w14:paraId="6D9CECFB" w14:textId="77777777" w:rsidR="00086293" w:rsidRPr="00086293" w:rsidRDefault="00086293" w:rsidP="00086293">
            <w:pPr>
              <w:spacing w:after="86"/>
              <w:rPr>
                <w:rFonts w:ascii="Century Gothic" w:hAnsi="Century Gothic" w:cs="Times New Roman"/>
                <w:color w:val="000000" w:themeColor="text1"/>
                <w:sz w:val="20"/>
                <w:szCs w:val="20"/>
                <w:lang w:eastAsia="es-ES_tradnl"/>
              </w:rPr>
            </w:pPr>
            <w:r w:rsidRPr="00086293">
              <w:rPr>
                <w:rFonts w:ascii="Century Gothic" w:hAnsi="Century Gothic" w:cs="Times New Roman"/>
                <w:b/>
                <w:bCs/>
                <w:color w:val="000000" w:themeColor="text1"/>
                <w:sz w:val="20"/>
                <w:szCs w:val="20"/>
                <w:lang w:eastAsia="es-ES_tradnl"/>
              </w:rPr>
              <w:t>Principios para fomentar la confianza </w:t>
            </w:r>
          </w:p>
        </w:tc>
        <w:tc>
          <w:tcPr>
            <w:tcW w:w="6804" w:type="dxa"/>
            <w:tcBorders>
              <w:top w:val="single" w:sz="6" w:space="0" w:color="B1C764"/>
              <w:left w:val="single" w:sz="6" w:space="0" w:color="B1C764"/>
              <w:bottom w:val="single" w:sz="6" w:space="0" w:color="B1C764"/>
              <w:right w:val="single" w:sz="6" w:space="0" w:color="B1C764"/>
            </w:tcBorders>
            <w:shd w:val="clear" w:color="auto" w:fill="E2EFD9" w:themeFill="accent6" w:themeFillTint="33"/>
          </w:tcPr>
          <w:p w14:paraId="383C5B1C" w14:textId="77777777" w:rsidR="00086293" w:rsidRPr="00086293" w:rsidRDefault="00086293" w:rsidP="00086293">
            <w:pPr>
              <w:spacing w:after="86"/>
              <w:rPr>
                <w:rFonts w:ascii="Century Gothic" w:hAnsi="Century Gothic" w:cs="Times New Roman"/>
                <w:b/>
                <w:bCs/>
                <w:color w:val="000000" w:themeColor="text1"/>
                <w:sz w:val="20"/>
                <w:szCs w:val="20"/>
                <w:lang w:eastAsia="es-ES_tradnl"/>
              </w:rPr>
            </w:pPr>
            <w:r w:rsidRPr="00086293">
              <w:rPr>
                <w:rFonts w:ascii="Century Gothic" w:hAnsi="Century Gothic" w:cs="Times New Roman"/>
                <w:b/>
                <w:bCs/>
                <w:color w:val="000000" w:themeColor="text1"/>
                <w:sz w:val="20"/>
                <w:szCs w:val="20"/>
                <w:lang w:eastAsia="es-ES_tradnl"/>
              </w:rPr>
              <w:t xml:space="preserve"> Pasos que dará en el caso de su proyecto de aplicación práctica</w:t>
            </w:r>
          </w:p>
        </w:tc>
      </w:tr>
      <w:bookmarkEnd w:id="0"/>
      <w:tr w:rsidR="00086293" w:rsidRPr="00086293" w14:paraId="64CCC7CE"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136B15D5"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(1) Declaración general sobre la voluntad de reducir la tensión</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0E315B22"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Los pasos previstos deben estructurarse de forma coherente para facilitar a la contraparte su interpretación.</w:t>
            </w:r>
          </w:p>
          <w:p w14:paraId="1681D729"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El (auto)compromiso público tiene el efecto de que desviarse de él resulta costoso para la reputación pública - según la dimensión del conflicto - internacional. </w:t>
            </w:r>
          </w:p>
          <w:p w14:paraId="0E27EF07"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Al activarse los terceros, se hace visible el carácter voluntario de la iniciativa.</w:t>
            </w:r>
          </w:p>
        </w:tc>
        <w:tc>
          <w:tcPr>
            <w:tcW w:w="6804" w:type="dxa"/>
            <w:tcBorders>
              <w:top w:val="single" w:sz="6" w:space="0" w:color="B1C764"/>
              <w:left w:val="single" w:sz="6" w:space="0" w:color="B1C764"/>
              <w:bottom w:val="single" w:sz="6" w:space="0" w:color="B1C764"/>
              <w:right w:val="single" w:sz="6" w:space="0" w:color="B1C764"/>
            </w:tcBorders>
          </w:tcPr>
          <w:p w14:paraId="2D099CB0" w14:textId="77777777" w:rsidR="00086293" w:rsidRPr="00086293" w:rsidRDefault="00086293" w:rsidP="00086293">
            <w:pPr>
              <w:spacing w:after="44"/>
              <w:ind w:left="138"/>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 xml:space="preserve"> </w:t>
            </w:r>
          </w:p>
        </w:tc>
      </w:tr>
      <w:tr w:rsidR="00086293" w:rsidRPr="00086293" w14:paraId="3C4447BC"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1F1A08B3"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(2) Anuncios claros de las iniciativas particulares</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44CC6CDB"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Debe evitarse cualquier interpretación errónea a través de la vaguedad, la ambigüedad o la imprecisión.</w:t>
            </w:r>
          </w:p>
          <w:p w14:paraId="7178DF61"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Establecer la conexión de las iniciativas individuales con la explicación general de querer reducir la tensión en el paso (1) está en primer plano. La coherencia del programa debe quedar clara.</w:t>
            </w:r>
          </w:p>
        </w:tc>
        <w:tc>
          <w:tcPr>
            <w:tcW w:w="6804" w:type="dxa"/>
            <w:tcBorders>
              <w:top w:val="single" w:sz="6" w:space="0" w:color="B1C764"/>
              <w:left w:val="single" w:sz="6" w:space="0" w:color="B1C764"/>
              <w:bottom w:val="single" w:sz="6" w:space="0" w:color="B1C764"/>
              <w:right w:val="single" w:sz="6" w:space="0" w:color="B1C764"/>
            </w:tcBorders>
          </w:tcPr>
          <w:p w14:paraId="451E7390" w14:textId="77777777" w:rsidR="00086293" w:rsidRPr="00086293" w:rsidRDefault="00086293" w:rsidP="00086293">
            <w:pPr>
              <w:spacing w:after="44"/>
              <w:ind w:left="138"/>
              <w:rPr>
                <w:rFonts w:ascii="Century Gothic" w:hAnsi="Century Gothic" w:cs="Times New Roman"/>
                <w:sz w:val="20"/>
                <w:szCs w:val="20"/>
                <w:lang w:eastAsia="es-ES_tradnl"/>
              </w:rPr>
            </w:pPr>
          </w:p>
        </w:tc>
      </w:tr>
      <w:tr w:rsidR="00086293" w:rsidRPr="00086293" w14:paraId="1197080D"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2280CAC5"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(3) Implementación de la iniciativa tal como fue anunciada</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41EFA861"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Generación de credibilidad objetiva.</w:t>
            </w:r>
          </w:p>
        </w:tc>
        <w:tc>
          <w:tcPr>
            <w:tcW w:w="6804" w:type="dxa"/>
            <w:tcBorders>
              <w:top w:val="single" w:sz="6" w:space="0" w:color="B1C764"/>
              <w:left w:val="single" w:sz="6" w:space="0" w:color="B1C764"/>
              <w:bottom w:val="single" w:sz="6" w:space="0" w:color="B1C764"/>
              <w:right w:val="single" w:sz="6" w:space="0" w:color="B1C764"/>
            </w:tcBorders>
          </w:tcPr>
          <w:p w14:paraId="221B6FA6" w14:textId="77777777" w:rsidR="00086293" w:rsidRPr="00086293" w:rsidRDefault="00086293" w:rsidP="00086293">
            <w:pPr>
              <w:spacing w:after="86"/>
              <w:ind w:left="138"/>
              <w:rPr>
                <w:rFonts w:ascii="Century Gothic" w:hAnsi="Century Gothic" w:cs="Times New Roman"/>
                <w:sz w:val="20"/>
                <w:szCs w:val="20"/>
                <w:lang w:eastAsia="es-ES_tradnl"/>
              </w:rPr>
            </w:pPr>
          </w:p>
        </w:tc>
      </w:tr>
      <w:tr w:rsidR="00086293" w:rsidRPr="00086293" w14:paraId="3CF7565B"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6A1C9EE8"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(4) Invitación a la otra parte de implementar una réplica, pero sin demandar una reacción positiva</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67090F5C"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No se restringe la libertad de la otra parte.</w:t>
            </w:r>
          </w:p>
          <w:p w14:paraId="619F1788"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 xml:space="preserve">Se pone en marcha el efecto de refuerzo a través del riesgo de la propia vulnerabilidad, el riesgo de exponerse a </w:t>
            </w:r>
            <w:proofErr w:type="spellStart"/>
            <w:r w:rsidRPr="00086293">
              <w:rPr>
                <w:rFonts w:ascii="Century Gothic" w:hAnsi="Century Gothic" w:cs="Times New Roman"/>
                <w:sz w:val="20"/>
                <w:szCs w:val="20"/>
                <w:lang w:eastAsia="es-ES_tradnl"/>
              </w:rPr>
              <w:t>si</w:t>
            </w:r>
            <w:proofErr w:type="spellEnd"/>
            <w:r w:rsidRPr="00086293">
              <w:rPr>
                <w:rFonts w:ascii="Century Gothic" w:hAnsi="Century Gothic" w:cs="Times New Roman"/>
                <w:sz w:val="20"/>
                <w:szCs w:val="20"/>
                <w:lang w:eastAsia="es-ES_tradnl"/>
              </w:rPr>
              <w:t xml:space="preserve"> mismo(a).</w:t>
            </w:r>
          </w:p>
          <w:p w14:paraId="2F56B7D1"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A la vez es importante evitar el rechazo de la otra parte.</w:t>
            </w:r>
          </w:p>
        </w:tc>
        <w:tc>
          <w:tcPr>
            <w:tcW w:w="6804" w:type="dxa"/>
            <w:tcBorders>
              <w:top w:val="single" w:sz="6" w:space="0" w:color="B1C764"/>
              <w:left w:val="single" w:sz="6" w:space="0" w:color="B1C764"/>
              <w:bottom w:val="single" w:sz="6" w:space="0" w:color="B1C764"/>
              <w:right w:val="single" w:sz="6" w:space="0" w:color="B1C764"/>
            </w:tcBorders>
          </w:tcPr>
          <w:p w14:paraId="2CD6869F" w14:textId="77777777" w:rsidR="00086293" w:rsidRPr="00086293" w:rsidRDefault="00086293" w:rsidP="00086293">
            <w:pPr>
              <w:spacing w:after="44"/>
              <w:ind w:left="138"/>
              <w:rPr>
                <w:rFonts w:ascii="Century Gothic" w:hAnsi="Century Gothic" w:cs="Times New Roman"/>
                <w:sz w:val="20"/>
                <w:szCs w:val="20"/>
                <w:lang w:eastAsia="es-ES_tradnl"/>
              </w:rPr>
            </w:pPr>
          </w:p>
        </w:tc>
      </w:tr>
      <w:tr w:rsidR="00086293" w:rsidRPr="00086293" w14:paraId="4509DFAD"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77B8BDAB"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(5) Continuación de las iniciativas unilaterales incluso en ausencia de respuesta</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05513672"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Prueba de un comportamiento coherente.</w:t>
            </w:r>
          </w:p>
          <w:p w14:paraId="17A2677E"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Preservación de la credibilidad objetiva de acuerdo con la declaración general (1).</w:t>
            </w:r>
          </w:p>
          <w:p w14:paraId="4C690977"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Efecto de refuerzo</w:t>
            </w:r>
          </w:p>
        </w:tc>
        <w:tc>
          <w:tcPr>
            <w:tcW w:w="6804" w:type="dxa"/>
            <w:tcBorders>
              <w:top w:val="single" w:sz="6" w:space="0" w:color="B1C764"/>
              <w:left w:val="single" w:sz="6" w:space="0" w:color="B1C764"/>
              <w:bottom w:val="single" w:sz="6" w:space="0" w:color="B1C764"/>
              <w:right w:val="single" w:sz="6" w:space="0" w:color="B1C764"/>
            </w:tcBorders>
          </w:tcPr>
          <w:p w14:paraId="749CF903" w14:textId="77777777" w:rsidR="00086293" w:rsidRPr="00086293" w:rsidRDefault="00086293" w:rsidP="00086293">
            <w:pPr>
              <w:spacing w:after="44"/>
              <w:ind w:left="138"/>
              <w:rPr>
                <w:rFonts w:ascii="Century Gothic" w:hAnsi="Century Gothic" w:cs="Times New Roman"/>
                <w:sz w:val="20"/>
                <w:szCs w:val="20"/>
                <w:lang w:eastAsia="es-ES_tradnl"/>
              </w:rPr>
            </w:pPr>
          </w:p>
        </w:tc>
      </w:tr>
      <w:tr w:rsidR="00086293" w:rsidRPr="00086293" w14:paraId="3680617F"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26D6C5CB"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lastRenderedPageBreak/>
              <w:t xml:space="preserve"> (6) Oferta para la otra parte de verificar las medidas</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186EBD56" w14:textId="77777777" w:rsidR="00086293" w:rsidRPr="00086293" w:rsidRDefault="00086293" w:rsidP="00086293">
            <w:pPr>
              <w:spacing w:after="44"/>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 xml:space="preserve">Puede incrementar la credibilidad objetiva aunque exista el peligro que demasiada apertura </w:t>
            </w:r>
            <w:proofErr w:type="gramStart"/>
            <w:r w:rsidRPr="00086293">
              <w:rPr>
                <w:rFonts w:ascii="Century Gothic" w:hAnsi="Century Gothic" w:cs="Times New Roman"/>
                <w:sz w:val="20"/>
                <w:szCs w:val="20"/>
                <w:lang w:eastAsia="es-ES_tradnl"/>
              </w:rPr>
              <w:t>demostrativa  destruya</w:t>
            </w:r>
            <w:proofErr w:type="gramEnd"/>
            <w:r w:rsidRPr="00086293">
              <w:rPr>
                <w:rFonts w:ascii="Century Gothic" w:hAnsi="Century Gothic" w:cs="Times New Roman"/>
                <w:sz w:val="20"/>
                <w:szCs w:val="20"/>
                <w:lang w:eastAsia="es-ES_tradnl"/>
              </w:rPr>
              <w:t xml:space="preserve"> la confianza porque puede dar motivo de sospecha o desconfianza.</w:t>
            </w:r>
          </w:p>
        </w:tc>
        <w:tc>
          <w:tcPr>
            <w:tcW w:w="6804" w:type="dxa"/>
            <w:tcBorders>
              <w:top w:val="single" w:sz="6" w:space="0" w:color="B1C764"/>
              <w:left w:val="single" w:sz="6" w:space="0" w:color="B1C764"/>
              <w:bottom w:val="single" w:sz="6" w:space="0" w:color="B1C764"/>
              <w:right w:val="single" w:sz="6" w:space="0" w:color="B1C764"/>
            </w:tcBorders>
          </w:tcPr>
          <w:p w14:paraId="6B6255BF" w14:textId="77777777" w:rsidR="00086293" w:rsidRPr="00086293" w:rsidRDefault="00086293" w:rsidP="00086293">
            <w:pPr>
              <w:spacing w:after="44"/>
              <w:ind w:left="138"/>
              <w:rPr>
                <w:rFonts w:ascii="Century Gothic" w:hAnsi="Century Gothic" w:cs="Times New Roman"/>
                <w:sz w:val="20"/>
                <w:szCs w:val="20"/>
                <w:lang w:eastAsia="es-ES_tradnl"/>
              </w:rPr>
            </w:pPr>
          </w:p>
        </w:tc>
      </w:tr>
      <w:tr w:rsidR="00086293" w:rsidRPr="00086293" w14:paraId="1AA2A896"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76290832"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(7) Mantener la capacidad de reacción</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1F2C55CF"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El balance de intereses debe ser una opción, no -como en el caso del desarme unilateral y completo- la única estrategia; la otra parte puede percibir el comportamiento como bienintencionado porque se da cuenta de que no se han aplicado los medios de presión existentes.</w:t>
            </w:r>
          </w:p>
        </w:tc>
        <w:tc>
          <w:tcPr>
            <w:tcW w:w="6804" w:type="dxa"/>
            <w:tcBorders>
              <w:top w:val="single" w:sz="6" w:space="0" w:color="B1C764"/>
              <w:left w:val="single" w:sz="6" w:space="0" w:color="B1C764"/>
              <w:bottom w:val="single" w:sz="6" w:space="0" w:color="B1C764"/>
              <w:right w:val="single" w:sz="6" w:space="0" w:color="B1C764"/>
            </w:tcBorders>
          </w:tcPr>
          <w:p w14:paraId="02E4B28E" w14:textId="77777777" w:rsidR="00086293" w:rsidRPr="00086293" w:rsidRDefault="00086293" w:rsidP="00086293">
            <w:pPr>
              <w:spacing w:after="86"/>
              <w:rPr>
                <w:rFonts w:ascii="Century Gothic" w:hAnsi="Century Gothic" w:cs="Times New Roman"/>
                <w:sz w:val="20"/>
                <w:szCs w:val="20"/>
                <w:lang w:eastAsia="es-ES_tradnl"/>
              </w:rPr>
            </w:pPr>
          </w:p>
        </w:tc>
      </w:tr>
      <w:tr w:rsidR="00086293" w:rsidRPr="00086293" w14:paraId="6597658F"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6D2A4268"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(8) Reacciones o incluso represalias precisas en caso de escalada por la otra parte</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09427E4E"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Evitar la reacción exagerada, que pondría en marcha la espiral de escalada y daría la impresión de hostilidad; es favorable que el adversario pueda percibir la pertinencia de la reacción.</w:t>
            </w:r>
          </w:p>
          <w:p w14:paraId="56F426D0" w14:textId="77777777" w:rsidR="00086293" w:rsidRPr="00086293" w:rsidRDefault="00086293" w:rsidP="00086293">
            <w:pPr>
              <w:spacing w:after="86"/>
              <w:rPr>
                <w:rFonts w:ascii="Century Gothic" w:hAnsi="Century Gothic" w:cs="Times New Roman"/>
                <w:sz w:val="20"/>
                <w:szCs w:val="20"/>
                <w:lang w:eastAsia="es-ES_tradnl"/>
              </w:rPr>
            </w:pPr>
          </w:p>
        </w:tc>
        <w:tc>
          <w:tcPr>
            <w:tcW w:w="6804" w:type="dxa"/>
            <w:tcBorders>
              <w:top w:val="single" w:sz="6" w:space="0" w:color="B1C764"/>
              <w:left w:val="single" w:sz="6" w:space="0" w:color="B1C764"/>
              <w:bottom w:val="single" w:sz="6" w:space="0" w:color="B1C764"/>
              <w:right w:val="single" w:sz="6" w:space="0" w:color="B1C764"/>
            </w:tcBorders>
          </w:tcPr>
          <w:p w14:paraId="6F81E768" w14:textId="77777777" w:rsidR="00086293" w:rsidRPr="00086293" w:rsidRDefault="00086293" w:rsidP="00086293">
            <w:pPr>
              <w:spacing w:after="86"/>
              <w:rPr>
                <w:rFonts w:ascii="Century Gothic" w:hAnsi="Century Gothic" w:cs="Times New Roman"/>
                <w:sz w:val="20"/>
                <w:szCs w:val="20"/>
                <w:lang w:eastAsia="es-ES_tradnl"/>
              </w:rPr>
            </w:pPr>
          </w:p>
        </w:tc>
      </w:tr>
      <w:tr w:rsidR="00086293" w:rsidRPr="00086293" w14:paraId="4CC267A8"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7C2004A0"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(9) Diversificación de las iniciativas</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735E5A9E"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Lo importante es la consistencia de las medidas y de su horizonte temporal más largo.</w:t>
            </w:r>
          </w:p>
        </w:tc>
        <w:tc>
          <w:tcPr>
            <w:tcW w:w="6804" w:type="dxa"/>
            <w:tcBorders>
              <w:top w:val="single" w:sz="6" w:space="0" w:color="B1C764"/>
              <w:left w:val="single" w:sz="6" w:space="0" w:color="B1C764"/>
              <w:bottom w:val="single" w:sz="6" w:space="0" w:color="B1C764"/>
              <w:right w:val="single" w:sz="6" w:space="0" w:color="B1C764"/>
            </w:tcBorders>
          </w:tcPr>
          <w:p w14:paraId="05C76034" w14:textId="77777777" w:rsidR="00086293" w:rsidRPr="00086293" w:rsidRDefault="00086293" w:rsidP="00086293">
            <w:pPr>
              <w:spacing w:after="86"/>
              <w:rPr>
                <w:rFonts w:ascii="Century Gothic" w:hAnsi="Century Gothic" w:cs="Times New Roman"/>
                <w:sz w:val="20"/>
                <w:szCs w:val="20"/>
                <w:lang w:eastAsia="es-ES_tradnl"/>
              </w:rPr>
            </w:pPr>
          </w:p>
        </w:tc>
      </w:tr>
      <w:tr w:rsidR="00086293" w:rsidRPr="00086293" w14:paraId="7FA37D31" w14:textId="77777777" w:rsidTr="00086293">
        <w:tc>
          <w:tcPr>
            <w:tcW w:w="2402"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590F7DC8"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(10) Responder a cualquier reacción positiva de la otra parte con nuevas iniciativas</w:t>
            </w:r>
          </w:p>
        </w:tc>
        <w:tc>
          <w:tcPr>
            <w:tcW w:w="4961" w:type="dxa"/>
            <w:tcBorders>
              <w:top w:val="single" w:sz="6" w:space="0" w:color="B1C764"/>
              <w:left w:val="single" w:sz="6" w:space="0" w:color="B1C764"/>
              <w:bottom w:val="single" w:sz="6" w:space="0" w:color="B1C764"/>
              <w:right w:val="single" w:sz="6" w:space="0" w:color="B1C764"/>
            </w:tcBorders>
            <w:tcMar>
              <w:top w:w="60" w:type="dxa"/>
              <w:left w:w="60" w:type="dxa"/>
              <w:bottom w:w="60" w:type="dxa"/>
              <w:right w:w="60" w:type="dxa"/>
            </w:tcMar>
            <w:hideMark/>
          </w:tcPr>
          <w:p w14:paraId="4259551F" w14:textId="77777777" w:rsidR="00086293" w:rsidRPr="00086293" w:rsidRDefault="00086293" w:rsidP="00086293">
            <w:pPr>
              <w:spacing w:after="86"/>
              <w:rPr>
                <w:rFonts w:ascii="Century Gothic" w:hAnsi="Century Gothic" w:cs="Times New Roman"/>
                <w:sz w:val="20"/>
                <w:szCs w:val="20"/>
                <w:lang w:eastAsia="es-ES_tradnl"/>
              </w:rPr>
            </w:pPr>
            <w:r w:rsidRPr="00086293">
              <w:rPr>
                <w:rFonts w:ascii="Century Gothic" w:hAnsi="Century Gothic" w:cs="Times New Roman"/>
                <w:sz w:val="20"/>
                <w:szCs w:val="20"/>
                <w:lang w:eastAsia="es-ES_tradnl"/>
              </w:rPr>
              <w:t>No hacerlo sería visto como una violación de las normas autoimpuestas y llevaría a la desconfianza porque el efecto de refuerzo no se materializaría.</w:t>
            </w:r>
          </w:p>
        </w:tc>
        <w:tc>
          <w:tcPr>
            <w:tcW w:w="6804" w:type="dxa"/>
            <w:tcBorders>
              <w:top w:val="single" w:sz="6" w:space="0" w:color="B1C764"/>
              <w:left w:val="single" w:sz="6" w:space="0" w:color="B1C764"/>
              <w:bottom w:val="single" w:sz="6" w:space="0" w:color="B1C764"/>
              <w:right w:val="single" w:sz="6" w:space="0" w:color="B1C764"/>
            </w:tcBorders>
          </w:tcPr>
          <w:p w14:paraId="78235C93" w14:textId="77777777" w:rsidR="00086293" w:rsidRPr="00086293" w:rsidRDefault="00086293" w:rsidP="00086293">
            <w:pPr>
              <w:spacing w:after="86"/>
              <w:rPr>
                <w:rFonts w:ascii="Century Gothic" w:hAnsi="Century Gothic" w:cs="Times New Roman"/>
                <w:sz w:val="20"/>
                <w:szCs w:val="20"/>
                <w:lang w:eastAsia="es-ES_tradnl"/>
              </w:rPr>
            </w:pPr>
          </w:p>
        </w:tc>
      </w:tr>
    </w:tbl>
    <w:p w14:paraId="3E06C281" w14:textId="77777777" w:rsidR="00086293" w:rsidRPr="00086293" w:rsidRDefault="00086293">
      <w:pPr>
        <w:rPr>
          <w:sz w:val="20"/>
          <w:szCs w:val="20"/>
        </w:rPr>
      </w:pPr>
    </w:p>
    <w:p w14:paraId="24609287" w14:textId="77777777" w:rsidR="00086293" w:rsidRPr="00086293" w:rsidRDefault="00086293">
      <w:pPr>
        <w:rPr>
          <w:sz w:val="20"/>
          <w:szCs w:val="20"/>
          <w:lang w:val="es-ES"/>
        </w:rPr>
      </w:pPr>
    </w:p>
    <w:sectPr w:rsidR="00086293" w:rsidRPr="00086293" w:rsidSect="00086293">
      <w:pgSz w:w="16840" w:h="11900"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93"/>
    <w:rsid w:val="00086293"/>
    <w:rsid w:val="00C074AB"/>
    <w:rsid w:val="00D833EE"/>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059F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086293"/>
    <w:pPr>
      <w:spacing w:after="86"/>
    </w:pPr>
    <w:rPr>
      <w:rFonts w:ascii="Century Gothic" w:hAnsi="Century Gothic" w:cs="Times New Roman"/>
      <w:color w:val="FFFFFF"/>
      <w:sz w:val="14"/>
      <w:szCs w:val="14"/>
      <w:lang w:eastAsia="es-ES_tradnl"/>
    </w:rPr>
  </w:style>
  <w:style w:type="paragraph" w:customStyle="1" w:styleId="p2">
    <w:name w:val="p2"/>
    <w:basedOn w:val="Normal"/>
    <w:rsid w:val="00086293"/>
    <w:pPr>
      <w:spacing w:after="86"/>
    </w:pPr>
    <w:rPr>
      <w:rFonts w:ascii="Century Gothic" w:hAnsi="Century Gothic" w:cs="Times New Roman"/>
      <w:sz w:val="14"/>
      <w:szCs w:val="14"/>
      <w:lang w:eastAsia="es-ES_tradnl"/>
    </w:rPr>
  </w:style>
  <w:style w:type="paragraph" w:customStyle="1" w:styleId="p3">
    <w:name w:val="p3"/>
    <w:basedOn w:val="Normal"/>
    <w:rsid w:val="00086293"/>
    <w:pPr>
      <w:spacing w:after="44"/>
    </w:pPr>
    <w:rPr>
      <w:rFonts w:ascii="Century Gothic" w:hAnsi="Century Gothic" w:cs="Times New Roman"/>
      <w:sz w:val="14"/>
      <w:szCs w:val="14"/>
      <w:lang w:eastAsia="es-ES_tradnl"/>
    </w:rPr>
  </w:style>
  <w:style w:type="character" w:customStyle="1" w:styleId="apple-converted-space">
    <w:name w:val="apple-converted-space"/>
    <w:basedOn w:val="Fuentedeprrafopredeter"/>
    <w:rsid w:val="00086293"/>
  </w:style>
  <w:style w:type="paragraph" w:customStyle="1" w:styleId="p4">
    <w:name w:val="p4"/>
    <w:basedOn w:val="Normal"/>
    <w:rsid w:val="00086293"/>
    <w:pPr>
      <w:spacing w:after="86"/>
    </w:pPr>
    <w:rPr>
      <w:rFonts w:ascii="Century Gothic" w:hAnsi="Century Gothic"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7573">
      <w:bodyDiv w:val="1"/>
      <w:marLeft w:val="0"/>
      <w:marRight w:val="0"/>
      <w:marTop w:val="0"/>
      <w:marBottom w:val="0"/>
      <w:divBdr>
        <w:top w:val="none" w:sz="0" w:space="0" w:color="auto"/>
        <w:left w:val="none" w:sz="0" w:space="0" w:color="auto"/>
        <w:bottom w:val="none" w:sz="0" w:space="0" w:color="auto"/>
        <w:right w:val="none" w:sz="0" w:space="0" w:color="auto"/>
      </w:divBdr>
    </w:div>
    <w:div w:id="1362632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2322</Characters>
  <Application>Microsoft Macintosh Word</Application>
  <DocSecurity>0</DocSecurity>
  <Lines>19</Lines>
  <Paragraphs>5</Paragraphs>
  <ScaleCrop>false</ScaleCrop>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Muckenhirn</dc:creator>
  <cp:keywords/>
  <dc:description/>
  <cp:lastModifiedBy>Rita Muckenhirn</cp:lastModifiedBy>
  <cp:revision>2</cp:revision>
  <dcterms:created xsi:type="dcterms:W3CDTF">2022-03-17T14:24:00Z</dcterms:created>
  <dcterms:modified xsi:type="dcterms:W3CDTF">2022-03-20T22:08:00Z</dcterms:modified>
</cp:coreProperties>
</file>